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F44B36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F44B36" w:rsidRDefault="00F44B3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Pr="00664D12">
              <w:rPr>
                <w:rFonts w:ascii="Arial" w:hAnsi="Arial" w:cs="Arial"/>
                <w:b/>
                <w:sz w:val="20"/>
                <w:szCs w:val="20"/>
              </w:rPr>
              <w:t>BUDOWA KOMPLEKSU SPORTOWO-REKREACYJNEGO w M. KOŁBIEL: budowa bieżni i boiska do piłki nożnej, trybun, rzutni, rozbieżni do skoku w dal i wzwyż oraz  drenażu i oświetlenia, budowa boiska wielofunkcyjnego, budowa budynku rekreacyjno-sportowego”.</w:t>
            </w:r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konstrukcyjno-budowlanej</w:t>
            </w: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instalacyjnej w zakresie sieci, instalacji i urządzeń elektrycznych i elektroenergetycznych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Wzór zobowiązania określa – załącznik nr 4 do </w:t>
      </w:r>
      <w:proofErr w:type="spellStart"/>
      <w:r w:rsidR="0061676C" w:rsidRPr="0061676C">
        <w:rPr>
          <w:rFonts w:ascii="Arial" w:hAnsi="Arial" w:cs="Arial"/>
          <w:sz w:val="20"/>
          <w:szCs w:val="20"/>
        </w:rPr>
        <w:t>siwz</w:t>
      </w:r>
      <w:proofErr w:type="spellEnd"/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B7981"/>
    <w:rsid w:val="009C5A62"/>
    <w:rsid w:val="00BA564C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3</cp:revision>
  <cp:lastPrinted>2016-07-21T13:24:00Z</cp:lastPrinted>
  <dcterms:created xsi:type="dcterms:W3CDTF">2016-08-17T08:14:00Z</dcterms:created>
  <dcterms:modified xsi:type="dcterms:W3CDTF">2016-08-17T08:18:00Z</dcterms:modified>
</cp:coreProperties>
</file>